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2A7A" w14:textId="77777777" w:rsidR="002A79EE" w:rsidRPr="005C785A" w:rsidRDefault="002A79EE" w:rsidP="002A79EE">
      <w:pPr>
        <w:jc w:val="center"/>
        <w:rPr>
          <w:rFonts w:ascii="Avenir Next" w:hAnsi="Avenir Next"/>
          <w:i/>
          <w:iCs/>
          <w:sz w:val="21"/>
          <w:szCs w:val="21"/>
          <w:lang w:eastAsia="en-GB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Flexible Work Policy Template</w:t>
      </w: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br/>
      </w:r>
      <w:r w:rsidRPr="005C785A">
        <w:rPr>
          <w:rFonts w:ascii="Avenir Next" w:hAnsi="Avenir Next"/>
          <w:i/>
          <w:iCs/>
          <w:sz w:val="20"/>
          <w:szCs w:val="20"/>
          <w:lang w:eastAsia="en-GB"/>
        </w:rPr>
        <w:t>This is a guide only and should be adapted to your industry and circumstances.</w:t>
      </w:r>
    </w:p>
    <w:p w14:paraId="4EAD3AC7" w14:textId="72A563A2" w:rsidR="002A79EE" w:rsidRPr="005C785A" w:rsidRDefault="002A79EE" w:rsidP="002A79EE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</w:p>
    <w:p w14:paraId="66B4D43C" w14:textId="77777777" w:rsidR="002A79EE" w:rsidRPr="005C785A" w:rsidRDefault="002A79EE" w:rsidP="002A79EE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 Purpose</w:t>
      </w:r>
    </w:p>
    <w:p w14:paraId="423EE9DF" w14:textId="77777777" w:rsidR="002A79EE" w:rsidRPr="005C785A" w:rsidRDefault="002A79EE" w:rsidP="002A79EE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At [Company Name], we recognise that flexible working arrangements support a diverse, inclusive, and productive workplace. This policy ensures that employees can balance work with personal responsibilities while contributing effectively to our organisation. Our commitment aligns with the </w:t>
      </w:r>
      <w:r w:rsidRPr="005C785A">
        <w:rPr>
          <w:rFonts w:ascii="Avenir Next" w:eastAsia="Times New Roman" w:hAnsi="Avenir Next" w:cs="Times New Roman"/>
          <w:i/>
          <w:iCs/>
          <w:color w:val="000000"/>
          <w:kern w:val="0"/>
          <w:lang w:eastAsia="en-GB"/>
          <w14:ligatures w14:val="none"/>
        </w:rPr>
        <w:t>Fair Work Act 2009</w:t>
      </w: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and the </w:t>
      </w:r>
      <w:r w:rsidRPr="005C785A">
        <w:rPr>
          <w:rFonts w:ascii="Avenir Next" w:eastAsia="Times New Roman" w:hAnsi="Avenir Next" w:cs="Times New Roman"/>
          <w:i/>
          <w:iCs/>
          <w:color w:val="000000"/>
          <w:kern w:val="0"/>
          <w:lang w:eastAsia="en-GB"/>
          <w14:ligatures w14:val="none"/>
        </w:rPr>
        <w:t>Disability Discrimination Act 1992</w:t>
      </w: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, ensuring equitable access to flexible work options.</w:t>
      </w:r>
    </w:p>
    <w:p w14:paraId="29ED9957" w14:textId="77777777" w:rsidR="005C785A" w:rsidRDefault="005C785A" w:rsidP="002A79EE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029EF552" w14:textId="1389D644" w:rsidR="002A79EE" w:rsidRPr="005C785A" w:rsidRDefault="002A79EE" w:rsidP="002A79EE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2. Scope</w:t>
      </w:r>
    </w:p>
    <w:p w14:paraId="2735EE15" w14:textId="77777777" w:rsidR="002A79EE" w:rsidRPr="005C785A" w:rsidRDefault="002A79EE" w:rsidP="002A79EE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This policy applies to all employees, including full-time, part-time, casual, and contract workers, who may require flexible arrangements for reasons such as:</w:t>
      </w:r>
    </w:p>
    <w:p w14:paraId="5AFB644F" w14:textId="77777777" w:rsidR="002A79EE" w:rsidRPr="005C785A" w:rsidRDefault="002A79EE" w:rsidP="002A7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Caring responsibilities (e.g., children, elderly relatives, people with disabilities)</w:t>
      </w:r>
    </w:p>
    <w:p w14:paraId="794422E2" w14:textId="77777777" w:rsidR="002A79EE" w:rsidRPr="005C785A" w:rsidRDefault="002A79EE" w:rsidP="002A7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Disability or health-related needs</w:t>
      </w:r>
    </w:p>
    <w:p w14:paraId="45FB1F6D" w14:textId="77777777" w:rsidR="002A79EE" w:rsidRPr="005C785A" w:rsidRDefault="002A79EE" w:rsidP="002A7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Cultural or religious observances</w:t>
      </w:r>
    </w:p>
    <w:p w14:paraId="4DF18505" w14:textId="77777777" w:rsidR="002A79EE" w:rsidRPr="005C785A" w:rsidRDefault="002A79EE" w:rsidP="002A7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Study commitments or professional development</w:t>
      </w:r>
    </w:p>
    <w:p w14:paraId="4588E449" w14:textId="77777777" w:rsidR="002A79EE" w:rsidRPr="005C785A" w:rsidRDefault="002A79EE" w:rsidP="002A7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Transitioning to retirement</w:t>
      </w:r>
    </w:p>
    <w:p w14:paraId="2FAAABB2" w14:textId="77777777" w:rsidR="002A79EE" w:rsidRPr="005C785A" w:rsidRDefault="002A79EE" w:rsidP="002A7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Other personal circumstances requiring flexible work</w:t>
      </w:r>
    </w:p>
    <w:p w14:paraId="440209E5" w14:textId="77777777" w:rsidR="005C785A" w:rsidRDefault="005C785A" w:rsidP="002A79EE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4189AA13" w14:textId="1B205FA5" w:rsidR="002A79EE" w:rsidRPr="005C785A" w:rsidRDefault="002A79EE" w:rsidP="002A79EE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 Types of Flexible Work Arrangements</w:t>
      </w:r>
    </w:p>
    <w:p w14:paraId="594E6FA5" w14:textId="77777777" w:rsidR="002A79EE" w:rsidRPr="005C785A" w:rsidRDefault="002A79EE" w:rsidP="002A79EE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[Company Name] supports a range of flexible work options, including:</w:t>
      </w:r>
    </w:p>
    <w:p w14:paraId="311DF77E" w14:textId="77777777" w:rsidR="002A79EE" w:rsidRPr="005C785A" w:rsidRDefault="002A79EE" w:rsidP="002A7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Remote or Hybrid Work:</w:t>
      </w: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Working from home or another approved location</w:t>
      </w:r>
    </w:p>
    <w:p w14:paraId="65AC5B7D" w14:textId="77777777" w:rsidR="002A79EE" w:rsidRPr="005C785A" w:rsidRDefault="002A79EE" w:rsidP="002A7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Flexible Hours:</w:t>
      </w: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Adjusted start and finish times, compressed workweeks, or staggered shifts</w:t>
      </w:r>
    </w:p>
    <w:p w14:paraId="203EA586" w14:textId="77777777" w:rsidR="002A79EE" w:rsidRPr="005C785A" w:rsidRDefault="002A79EE" w:rsidP="002A7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Part-Time or Job Sharing:</w:t>
      </w: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Reduced hours or role-sharing with another employee</w:t>
      </w:r>
    </w:p>
    <w:p w14:paraId="1E60DABA" w14:textId="77777777" w:rsidR="002A79EE" w:rsidRPr="005C785A" w:rsidRDefault="002A79EE" w:rsidP="002A7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Adjusted Workload:</w:t>
      </w: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Temporary or long-term workload modifications due to personal circumstances</w:t>
      </w:r>
    </w:p>
    <w:p w14:paraId="04B3CB45" w14:textId="77777777" w:rsidR="002A79EE" w:rsidRPr="005C785A" w:rsidRDefault="002A79EE" w:rsidP="002A7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lastRenderedPageBreak/>
        <w:t>Purchased Leave or Additional Unpaid Leave:</w:t>
      </w: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Options to extend leave entitlements for personal needs</w:t>
      </w:r>
    </w:p>
    <w:p w14:paraId="0089C44D" w14:textId="77777777" w:rsidR="002A79EE" w:rsidRPr="005C785A" w:rsidRDefault="002A79EE" w:rsidP="002A7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Cultural and Religious Leave:</w:t>
      </w: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Recognising cultural and religious commitments as part of workplace inclusivity</w:t>
      </w:r>
    </w:p>
    <w:p w14:paraId="1632F2B7" w14:textId="77777777" w:rsidR="005C785A" w:rsidRDefault="005C785A" w:rsidP="002A79EE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403C7439" w14:textId="1D425E93" w:rsidR="002A79EE" w:rsidRPr="005C785A" w:rsidRDefault="002A79EE" w:rsidP="002A79EE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4. Requesting Flexible Work Arrangements</w:t>
      </w:r>
    </w:p>
    <w:p w14:paraId="6A4375AA" w14:textId="77777777" w:rsidR="002A79EE" w:rsidRPr="005C785A" w:rsidRDefault="002A79EE" w:rsidP="002A79EE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Employees can request flexible work by:</w:t>
      </w:r>
    </w:p>
    <w:p w14:paraId="3905E096" w14:textId="77777777" w:rsidR="002A79EE" w:rsidRPr="005C785A" w:rsidRDefault="002A79EE" w:rsidP="002A79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Submitting a written request outlining the proposed arrangement, reason, and expected benefits to both employee and employer.</w:t>
      </w:r>
    </w:p>
    <w:p w14:paraId="3185AE90" w14:textId="77777777" w:rsidR="002A79EE" w:rsidRPr="005C785A" w:rsidRDefault="002A79EE" w:rsidP="002A79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Engaging in a discussion with their manager to explore feasibility and any necessary adjustments.</w:t>
      </w:r>
    </w:p>
    <w:p w14:paraId="70869C82" w14:textId="77777777" w:rsidR="002A79EE" w:rsidRPr="005C785A" w:rsidRDefault="002A79EE" w:rsidP="002A79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Receiving a written response within 21 days, as required under the </w:t>
      </w:r>
      <w:r w:rsidRPr="005C785A">
        <w:rPr>
          <w:rFonts w:ascii="Avenir Next" w:eastAsia="Times New Roman" w:hAnsi="Avenir Next" w:cs="Times New Roman"/>
          <w:i/>
          <w:iCs/>
          <w:color w:val="000000"/>
          <w:kern w:val="0"/>
          <w:lang w:eastAsia="en-GB"/>
          <w14:ligatures w14:val="none"/>
        </w:rPr>
        <w:t>Fair Work Act 2009</w:t>
      </w: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. If a request cannot be accommodated, a clear explanation will be provided, and alternative solutions explored.</w:t>
      </w:r>
    </w:p>
    <w:p w14:paraId="0622AC84" w14:textId="77777777" w:rsidR="005C785A" w:rsidRDefault="005C785A" w:rsidP="002A79EE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772F0B07" w14:textId="3B960AA2" w:rsidR="002A79EE" w:rsidRPr="005C785A" w:rsidRDefault="002A79EE" w:rsidP="002A79EE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5. Manager Responsibilities</w:t>
      </w:r>
    </w:p>
    <w:p w14:paraId="62C709A5" w14:textId="77777777" w:rsidR="002A79EE" w:rsidRPr="005C785A" w:rsidRDefault="002A79EE" w:rsidP="002A79EE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Managers should:</w:t>
      </w:r>
    </w:p>
    <w:p w14:paraId="08C9F3C2" w14:textId="77777777" w:rsidR="002A79EE" w:rsidRPr="005C785A" w:rsidRDefault="002A79EE" w:rsidP="002A79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Consider all requests fairly, ensuring compliance with anti-discrimination laws</w:t>
      </w:r>
    </w:p>
    <w:p w14:paraId="469913C5" w14:textId="77777777" w:rsidR="002A79EE" w:rsidRPr="005C785A" w:rsidRDefault="002A79EE" w:rsidP="002A79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Assess requests based on business needs, feasibility, and potential adjustments</w:t>
      </w:r>
    </w:p>
    <w:p w14:paraId="7998528A" w14:textId="0FDB3C75" w:rsidR="002A79EE" w:rsidRPr="005C785A" w:rsidRDefault="002A79EE" w:rsidP="002A79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 xml:space="preserve">Support employees in </w:t>
      </w:r>
      <w:r w:rsidR="005C785A"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trialling</w:t>
      </w: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 xml:space="preserve"> flexible arrangements where practical</w:t>
      </w:r>
    </w:p>
    <w:p w14:paraId="63A38080" w14:textId="77777777" w:rsidR="002A79EE" w:rsidRPr="005C785A" w:rsidRDefault="002A79EE" w:rsidP="002A79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Maintain clear, ongoing communication to review effectiveness</w:t>
      </w:r>
    </w:p>
    <w:p w14:paraId="0680A737" w14:textId="77777777" w:rsidR="005C785A" w:rsidRDefault="005C785A" w:rsidP="002A79EE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12859ED2" w14:textId="7B40F840" w:rsidR="002A79EE" w:rsidRPr="005C785A" w:rsidRDefault="002A79EE" w:rsidP="002A79EE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6. Employee Responsibilities</w:t>
      </w:r>
    </w:p>
    <w:p w14:paraId="2B2A9C7B" w14:textId="77777777" w:rsidR="002A79EE" w:rsidRPr="005C785A" w:rsidRDefault="002A79EE" w:rsidP="002A79EE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Employees using flexible work arrangements should:</w:t>
      </w:r>
    </w:p>
    <w:p w14:paraId="1CC1EB62" w14:textId="77777777" w:rsidR="002A79EE" w:rsidRPr="005C785A" w:rsidRDefault="002A79EE" w:rsidP="002A79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Maintain communication with their team and manager</w:t>
      </w:r>
    </w:p>
    <w:p w14:paraId="566FDA21" w14:textId="77777777" w:rsidR="002A79EE" w:rsidRPr="005C785A" w:rsidRDefault="002A79EE" w:rsidP="002A79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Ensure performance and productivity expectations are met</w:t>
      </w:r>
    </w:p>
    <w:p w14:paraId="1C10016D" w14:textId="77777777" w:rsidR="002A79EE" w:rsidRPr="005C785A" w:rsidRDefault="002A79EE" w:rsidP="002A79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Adhere to company policies regarding workplace health and safety, confidentiality, and cybersecurity</w:t>
      </w:r>
    </w:p>
    <w:p w14:paraId="2D13797B" w14:textId="68AAFE03" w:rsidR="002A79EE" w:rsidRPr="005C785A" w:rsidRDefault="002A79EE" w:rsidP="002A79EE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7. Review and Monitoring</w:t>
      </w:r>
    </w:p>
    <w:p w14:paraId="5F283714" w14:textId="77777777" w:rsidR="002A79EE" w:rsidRPr="005C785A" w:rsidRDefault="002A79EE" w:rsidP="002A79EE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Flexible work arrangements will be reviewed periodically to assess their effectiveness. Employees and managers are encouraged to provide feedback to ensure continued alignment with business and individual needs.</w:t>
      </w:r>
    </w:p>
    <w:p w14:paraId="20FBD08A" w14:textId="77777777" w:rsidR="005C785A" w:rsidRDefault="005C785A" w:rsidP="002A79EE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24D5DA7A" w14:textId="59B21C7D" w:rsidR="002A79EE" w:rsidRPr="005C785A" w:rsidRDefault="002A79EE" w:rsidP="002A79EE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8. Additional Resources</w:t>
      </w:r>
    </w:p>
    <w:p w14:paraId="3B2B367D" w14:textId="77777777" w:rsidR="002A79EE" w:rsidRPr="005C785A" w:rsidRDefault="002A79EE" w:rsidP="002A79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Fair Work Ombudsman:</w:t>
      </w: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</w:t>
      </w:r>
      <w:hyperlink r:id="rId5" w:history="1">
        <w:r w:rsidRPr="005C785A">
          <w:rPr>
            <w:rFonts w:ascii="Avenir Next" w:eastAsia="Times New Roman" w:hAnsi="Avenir Next" w:cs="Times New Roman"/>
            <w:color w:val="0000FF"/>
            <w:kern w:val="0"/>
            <w:u w:val="single"/>
            <w:lang w:eastAsia="en-GB"/>
            <w14:ligatures w14:val="none"/>
          </w:rPr>
          <w:t>www.fairwork.gov.au</w:t>
        </w:r>
      </w:hyperlink>
    </w:p>
    <w:p w14:paraId="03D62DC9" w14:textId="77777777" w:rsidR="002A79EE" w:rsidRPr="005C785A" w:rsidRDefault="002A79EE" w:rsidP="002A79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proofErr w:type="spellStart"/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JobAccess</w:t>
      </w:r>
      <w:proofErr w:type="spellEnd"/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 xml:space="preserve"> (Workplace Adjustments for Disability):</w:t>
      </w: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</w:t>
      </w:r>
      <w:hyperlink r:id="rId6" w:history="1">
        <w:r w:rsidRPr="005C785A">
          <w:rPr>
            <w:rFonts w:ascii="Avenir Next" w:eastAsia="Times New Roman" w:hAnsi="Avenir Next" w:cs="Times New Roman"/>
            <w:color w:val="0000FF"/>
            <w:kern w:val="0"/>
            <w:u w:val="single"/>
            <w:lang w:eastAsia="en-GB"/>
            <w14:ligatures w14:val="none"/>
          </w:rPr>
          <w:t>www.jobaccess.gov.au</w:t>
        </w:r>
      </w:hyperlink>
    </w:p>
    <w:p w14:paraId="4AA7195D" w14:textId="77777777" w:rsidR="002A79EE" w:rsidRPr="005C785A" w:rsidRDefault="002A79EE" w:rsidP="002A79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Workplace Gender Equality Agency (WGEA) on Flexible Work:</w:t>
      </w: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</w:t>
      </w:r>
      <w:hyperlink r:id="rId7" w:history="1">
        <w:r w:rsidRPr="005C785A">
          <w:rPr>
            <w:rFonts w:ascii="Avenir Next" w:eastAsia="Times New Roman" w:hAnsi="Avenir Next" w:cs="Times New Roman"/>
            <w:color w:val="0000FF"/>
            <w:kern w:val="0"/>
            <w:u w:val="single"/>
            <w:lang w:eastAsia="en-GB"/>
            <w14:ligatures w14:val="none"/>
          </w:rPr>
          <w:t>www.wgea.gov.au</w:t>
        </w:r>
      </w:hyperlink>
    </w:p>
    <w:p w14:paraId="6B7A621D" w14:textId="77777777" w:rsidR="005C785A" w:rsidRDefault="005C785A" w:rsidP="002A79EE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</w:p>
    <w:p w14:paraId="0784D81C" w14:textId="777C028A" w:rsidR="002A79EE" w:rsidRPr="005C785A" w:rsidRDefault="002A79EE" w:rsidP="002A79EE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5C785A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By implementing this policy, [Company Name] fosters an inclusive workplace that recognises and accommodates the diverse needs of its employees while maintaining operational excellence.</w:t>
      </w:r>
    </w:p>
    <w:p w14:paraId="1833930B" w14:textId="77777777" w:rsidR="00C11213" w:rsidRPr="005C785A" w:rsidRDefault="00C11213">
      <w:pPr>
        <w:rPr>
          <w:rFonts w:ascii="Avenir Next" w:hAnsi="Avenir Next"/>
        </w:rPr>
      </w:pPr>
    </w:p>
    <w:sectPr w:rsidR="00C11213" w:rsidRPr="005C7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2E"/>
    <w:multiLevelType w:val="multilevel"/>
    <w:tmpl w:val="80DA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04B39"/>
    <w:multiLevelType w:val="multilevel"/>
    <w:tmpl w:val="284C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70A07"/>
    <w:multiLevelType w:val="multilevel"/>
    <w:tmpl w:val="D6FE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4553C"/>
    <w:multiLevelType w:val="multilevel"/>
    <w:tmpl w:val="3982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B0351"/>
    <w:multiLevelType w:val="multilevel"/>
    <w:tmpl w:val="D466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43057"/>
    <w:multiLevelType w:val="multilevel"/>
    <w:tmpl w:val="6C4C3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699537">
    <w:abstractNumId w:val="0"/>
  </w:num>
  <w:num w:numId="2" w16cid:durableId="314182996">
    <w:abstractNumId w:val="4"/>
  </w:num>
  <w:num w:numId="3" w16cid:durableId="819539588">
    <w:abstractNumId w:val="5"/>
  </w:num>
  <w:num w:numId="4" w16cid:durableId="1786996891">
    <w:abstractNumId w:val="1"/>
  </w:num>
  <w:num w:numId="5" w16cid:durableId="1915964863">
    <w:abstractNumId w:val="2"/>
  </w:num>
  <w:num w:numId="6" w16cid:durableId="842279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EE"/>
    <w:rsid w:val="002A79EE"/>
    <w:rsid w:val="00532844"/>
    <w:rsid w:val="005C785A"/>
    <w:rsid w:val="006D22F5"/>
    <w:rsid w:val="00994A2E"/>
    <w:rsid w:val="00C1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53B7"/>
  <w15:chartTrackingRefBased/>
  <w15:docId w15:val="{1CE3E5EB-3A8A-F745-8ACB-0B59131F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7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7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9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A79EE"/>
    <w:rPr>
      <w:b/>
      <w:bCs/>
    </w:rPr>
  </w:style>
  <w:style w:type="character" w:styleId="Emphasis">
    <w:name w:val="Emphasis"/>
    <w:basedOn w:val="DefaultParagraphFont"/>
    <w:uiPriority w:val="20"/>
    <w:qFormat/>
    <w:rsid w:val="002A79EE"/>
    <w:rPr>
      <w:i/>
      <w:iCs/>
    </w:rPr>
  </w:style>
  <w:style w:type="character" w:customStyle="1" w:styleId="apple-converted-space">
    <w:name w:val="apple-converted-space"/>
    <w:basedOn w:val="DefaultParagraphFont"/>
    <w:rsid w:val="002A79EE"/>
  </w:style>
  <w:style w:type="character" w:styleId="Hyperlink">
    <w:name w:val="Hyperlink"/>
    <w:basedOn w:val="DefaultParagraphFont"/>
    <w:uiPriority w:val="99"/>
    <w:semiHidden/>
    <w:unhideWhenUsed/>
    <w:rsid w:val="002A7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gea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obaccess.gov.au/" TargetMode="External"/><Relationship Id="rId5" Type="http://schemas.openxmlformats.org/officeDocument/2006/relationships/hyperlink" Target="https://www.fairwork.gov.a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O'Brien</dc:creator>
  <cp:keywords/>
  <dc:description/>
  <cp:lastModifiedBy>Hannah O'Brien</cp:lastModifiedBy>
  <cp:revision>2</cp:revision>
  <dcterms:created xsi:type="dcterms:W3CDTF">2025-02-27T05:20:00Z</dcterms:created>
  <dcterms:modified xsi:type="dcterms:W3CDTF">2025-02-27T12:07:00Z</dcterms:modified>
</cp:coreProperties>
</file>